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4EC2" w:rsidR="00EB1C5A" w:rsidP="004321DB" w:rsidRDefault="00EB1C5A" w14:paraId="7AA215F3" w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P="004321DB" w:rsidRDefault="00EB1C5A" w14:paraId="3730F680" w14:textId="2482CE2E">
      <w:pPr>
        <w:pStyle w:val="F2-zkladn"/>
        <w:tabs>
          <w:tab w:val="right" w:pos="9070"/>
        </w:tabs>
      </w:pPr>
      <w:r>
        <w:tab/>
      </w:r>
      <w:r w:rsidR="7C25CE9C">
        <w:rPr/>
        <w:t xml:space="preserve"> </w:t>
      </w:r>
      <w:r w:rsidR="00BE16A9">
        <w:rPr/>
        <w:t xml:space="preserve">Praha, </w:t>
      </w:r>
      <w:r w:rsidRPr="001665B3" w:rsidR="001665B3">
        <w:rPr/>
        <w:t>1</w:t>
      </w:r>
      <w:r w:rsidRPr="001665B3" w:rsidR="7B72F05E">
        <w:rPr/>
        <w:t>9</w:t>
      </w:r>
      <w:r w:rsidRPr="001665B3" w:rsidR="00BE16A9">
        <w:rPr/>
        <w:t>.</w:t>
      </w:r>
      <w:r w:rsidR="00BE16A9">
        <w:rPr/>
        <w:t xml:space="preserve"> </w:t>
      </w:r>
      <w:r w:rsidR="003D33AF">
        <w:rPr/>
        <w:t>ledna</w:t>
      </w:r>
      <w:r w:rsidR="625BE913">
        <w:rPr/>
        <w:t xml:space="preserve"> </w:t>
      </w:r>
      <w:r w:rsidR="00BE16A9">
        <w:rPr/>
        <w:t>202</w:t>
      </w:r>
      <w:r w:rsidR="003D33AF">
        <w:rPr/>
        <w:t>4</w:t>
      </w:r>
    </w:p>
    <w:p w:rsidR="007A39B8" w:rsidP="007A39B8" w:rsidRDefault="007A39B8" w14:paraId="1D4672CB" w14:textId="77777777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7A39B8" w:rsidR="001F501D" w:rsidP="007A39B8" w:rsidRDefault="48A55F41" w14:paraId="1082AA43" w14:textId="17D1ADDB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  <w:lang w:eastAsia="cs-CZ"/>
        </w:rPr>
      </w:pPr>
      <w:r w:rsidRPr="54C14231">
        <w:rPr>
          <w:rFonts w:ascii="Arial" w:hAnsi="Arial" w:cs="Arial"/>
          <w:b/>
          <w:bCs/>
          <w:sz w:val="26"/>
          <w:szCs w:val="26"/>
        </w:rPr>
        <w:t xml:space="preserve">Analýza TPA: </w:t>
      </w:r>
      <w:r w:rsidRPr="54C14231" w:rsidR="0D23EB31">
        <w:rPr>
          <w:rFonts w:ascii="Arial" w:hAnsi="Arial" w:cs="Arial"/>
          <w:b/>
          <w:bCs/>
          <w:sz w:val="26"/>
          <w:szCs w:val="26"/>
        </w:rPr>
        <w:t>Aktivita na M&amp;A trhu</w:t>
      </w:r>
      <w:r w:rsidRPr="54C14231" w:rsidR="423EC8DD">
        <w:rPr>
          <w:rFonts w:ascii="Arial" w:hAnsi="Arial" w:cs="Arial"/>
          <w:b/>
          <w:bCs/>
          <w:sz w:val="26"/>
          <w:szCs w:val="26"/>
        </w:rPr>
        <w:t xml:space="preserve"> </w:t>
      </w:r>
      <w:r w:rsidRPr="54C14231" w:rsidR="5C12BFD7">
        <w:rPr>
          <w:rFonts w:ascii="Arial" w:hAnsi="Arial" w:cs="Arial"/>
          <w:b/>
          <w:bCs/>
          <w:sz w:val="26"/>
          <w:szCs w:val="26"/>
        </w:rPr>
        <w:t xml:space="preserve">v regionu CCE </w:t>
      </w:r>
      <w:r w:rsidRPr="54C14231" w:rsidR="0D23EB31">
        <w:rPr>
          <w:rFonts w:ascii="Arial" w:hAnsi="Arial" w:cs="Arial"/>
          <w:b/>
          <w:bCs/>
          <w:sz w:val="26"/>
          <w:szCs w:val="26"/>
        </w:rPr>
        <w:t>v</w:t>
      </w:r>
      <w:r w:rsidRPr="54C14231" w:rsidR="11C053D4">
        <w:rPr>
          <w:rFonts w:ascii="Arial" w:hAnsi="Arial" w:cs="Arial"/>
          <w:b/>
          <w:bCs/>
          <w:sz w:val="26"/>
          <w:szCs w:val="26"/>
        </w:rPr>
        <w:t>e</w:t>
      </w:r>
      <w:r w:rsidRPr="54C14231" w:rsidR="0D23EB31">
        <w:rPr>
          <w:rFonts w:ascii="Arial" w:hAnsi="Arial" w:cs="Arial"/>
          <w:b/>
          <w:bCs/>
          <w:sz w:val="26"/>
          <w:szCs w:val="26"/>
        </w:rPr>
        <w:t xml:space="preserve"> </w:t>
      </w:r>
      <w:r w:rsidR="003D33AF">
        <w:rPr>
          <w:rFonts w:ascii="Arial" w:hAnsi="Arial" w:cs="Arial"/>
          <w:b/>
          <w:bCs/>
          <w:sz w:val="26"/>
          <w:szCs w:val="26"/>
        </w:rPr>
        <w:t>čtvrtém</w:t>
      </w:r>
      <w:r w:rsidRPr="54C14231" w:rsidR="007A39B8">
        <w:rPr>
          <w:rFonts w:ascii="Arial" w:hAnsi="Arial" w:cs="Arial"/>
          <w:b/>
          <w:bCs/>
          <w:sz w:val="26"/>
          <w:szCs w:val="26"/>
        </w:rPr>
        <w:t xml:space="preserve"> čtvrtletí</w:t>
      </w:r>
      <w:r w:rsidRPr="54C14231" w:rsidR="0D23EB31">
        <w:rPr>
          <w:rFonts w:ascii="Arial" w:hAnsi="Arial" w:cs="Arial"/>
          <w:b/>
          <w:bCs/>
          <w:sz w:val="26"/>
          <w:szCs w:val="26"/>
        </w:rPr>
        <w:t xml:space="preserve"> </w:t>
      </w:r>
      <w:r w:rsidRPr="54C14231" w:rsidR="3DB991FF">
        <w:rPr>
          <w:rFonts w:ascii="Arial" w:hAnsi="Arial" w:cs="Arial"/>
          <w:b/>
          <w:bCs/>
          <w:sz w:val="26"/>
          <w:szCs w:val="26"/>
        </w:rPr>
        <w:t>2023</w:t>
      </w:r>
      <w:r w:rsidRPr="54C14231" w:rsidR="5F96C9E2">
        <w:rPr>
          <w:rFonts w:ascii="Arial" w:hAnsi="Arial" w:cs="Arial"/>
          <w:b/>
          <w:bCs/>
          <w:sz w:val="26"/>
          <w:szCs w:val="26"/>
        </w:rPr>
        <w:t>,</w:t>
      </w:r>
      <w:r w:rsidRPr="54C14231" w:rsidR="3DB991FF">
        <w:rPr>
          <w:rFonts w:ascii="Arial" w:hAnsi="Arial" w:cs="Arial"/>
          <w:b/>
          <w:bCs/>
          <w:sz w:val="26"/>
          <w:szCs w:val="26"/>
        </w:rPr>
        <w:t xml:space="preserve"> </w:t>
      </w:r>
      <w:r w:rsidRPr="54C14231" w:rsidR="1CFD05CD">
        <w:rPr>
          <w:rFonts w:ascii="Arial" w:hAnsi="Arial" w:cs="Arial"/>
          <w:b/>
          <w:bCs/>
          <w:sz w:val="26"/>
          <w:szCs w:val="26"/>
        </w:rPr>
        <w:t>o</w:t>
      </w:r>
      <w:r w:rsidRPr="54C14231" w:rsidR="383903CB">
        <w:rPr>
          <w:rFonts w:ascii="Arial" w:hAnsi="Arial" w:cs="Arial"/>
          <w:b/>
          <w:bCs/>
          <w:sz w:val="26"/>
          <w:szCs w:val="26"/>
        </w:rPr>
        <w:t xml:space="preserve">bjem </w:t>
      </w:r>
      <w:r w:rsidRPr="54C14231" w:rsidR="00BA2004">
        <w:rPr>
          <w:rFonts w:ascii="Arial" w:hAnsi="Arial" w:cs="Arial"/>
          <w:b/>
          <w:bCs/>
          <w:sz w:val="26"/>
          <w:szCs w:val="26"/>
        </w:rPr>
        <w:t xml:space="preserve">i počet </w:t>
      </w:r>
      <w:r w:rsidRPr="54C14231" w:rsidR="0D23EB31">
        <w:rPr>
          <w:rFonts w:ascii="Arial" w:hAnsi="Arial" w:cs="Arial"/>
          <w:b/>
          <w:bCs/>
          <w:sz w:val="26"/>
          <w:szCs w:val="26"/>
        </w:rPr>
        <w:t>transakcí</w:t>
      </w:r>
      <w:r w:rsidRPr="54C14231" w:rsidR="58803E62">
        <w:rPr>
          <w:rFonts w:ascii="Arial" w:hAnsi="Arial" w:cs="Arial"/>
          <w:b/>
          <w:bCs/>
          <w:sz w:val="26"/>
          <w:szCs w:val="26"/>
        </w:rPr>
        <w:t xml:space="preserve"> </w:t>
      </w:r>
      <w:r w:rsidRPr="54C14231" w:rsidR="00BA2004">
        <w:rPr>
          <w:rFonts w:ascii="Arial" w:hAnsi="Arial" w:cs="Arial"/>
          <w:b/>
          <w:bCs/>
          <w:sz w:val="26"/>
          <w:szCs w:val="26"/>
        </w:rPr>
        <w:t xml:space="preserve">v ČR meziročně stoupl </w:t>
      </w:r>
    </w:p>
    <w:p w:rsidRPr="007A39B8" w:rsidR="007A39B8" w:rsidP="007A39B8" w:rsidRDefault="007A39B8" w14:paraId="5CA8CB40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:rsidRPr="00965886" w:rsidR="00BA2004" w:rsidP="00BA2004" w:rsidRDefault="00BA2004" w14:paraId="15C2D764" w14:textId="1D0671A9">
      <w:pPr>
        <w:pStyle w:val="Default"/>
        <w:spacing w:line="264" w:lineRule="auto"/>
        <w:jc w:val="both"/>
        <w:rPr>
          <w:rFonts w:eastAsia="Times New Roman"/>
          <w:b w:val="1"/>
          <w:bCs w:val="1"/>
          <w:sz w:val="22"/>
          <w:szCs w:val="22"/>
          <w:lang w:eastAsia="cs-CZ"/>
        </w:rPr>
      </w:pP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Počet i objem transakcí na trhu fúzí a akvizic v České republice </w:t>
      </w:r>
      <w:r w:rsidRPr="5365FA19" w:rsidR="001665B3">
        <w:rPr>
          <w:rFonts w:eastAsia="Times New Roman"/>
          <w:b w:val="1"/>
          <w:bCs w:val="1"/>
          <w:sz w:val="22"/>
          <w:szCs w:val="22"/>
          <w:lang w:eastAsia="cs-CZ"/>
        </w:rPr>
        <w:t>v</w:t>
      </w:r>
      <w:r w:rsidRPr="5365FA19" w:rsidR="001665B3">
        <w:rPr>
          <w:rFonts w:eastAsia="Times New Roman"/>
          <w:b w:val="1"/>
          <w:bCs w:val="1"/>
          <w:sz w:val="22"/>
          <w:szCs w:val="22"/>
          <w:lang w:eastAsia="cs-CZ"/>
        </w:rPr>
        <w:t>e</w:t>
      </w:r>
      <w:r w:rsidRPr="5365FA19" w:rsidR="001665B3">
        <w:rPr>
          <w:rFonts w:eastAsia="Times New Roman"/>
          <w:b w:val="1"/>
          <w:bCs w:val="1"/>
          <w:sz w:val="22"/>
          <w:szCs w:val="22"/>
          <w:lang w:eastAsia="cs-CZ"/>
        </w:rPr>
        <w:t xml:space="preserve"> čtvrtém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čtvrtletí </w:t>
      </w:r>
      <w:r w:rsidRPr="5365FA19" w:rsidR="002467AC">
        <w:rPr>
          <w:rFonts w:eastAsia="Times New Roman"/>
          <w:b w:val="1"/>
          <w:bCs w:val="1"/>
          <w:sz w:val="22"/>
          <w:szCs w:val="22"/>
          <w:lang w:eastAsia="cs-CZ"/>
        </w:rPr>
        <w:t xml:space="preserve">roku 2023 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meziročně stoupl. Na území ČR či se zapojením ČR se uskutečnilo </w:t>
      </w:r>
      <w:r w:rsidRPr="5365FA19" w:rsidR="003D33AF">
        <w:rPr>
          <w:rFonts w:eastAsia="Times New Roman"/>
          <w:b w:val="1"/>
          <w:bCs w:val="1"/>
          <w:sz w:val="22"/>
          <w:szCs w:val="22"/>
          <w:lang w:eastAsia="cs-CZ"/>
        </w:rPr>
        <w:t>29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transakcí za 1,</w:t>
      </w:r>
      <w:r w:rsidRPr="5365FA19" w:rsidR="003D33AF">
        <w:rPr>
          <w:rFonts w:eastAsia="Times New Roman"/>
          <w:b w:val="1"/>
          <w:bCs w:val="1"/>
          <w:sz w:val="22"/>
          <w:szCs w:val="22"/>
          <w:lang w:eastAsia="cs-CZ"/>
        </w:rPr>
        <w:t>156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miliardy eur (</w:t>
      </w:r>
      <w:r w:rsidRPr="5365FA19" w:rsidR="74F16EB6">
        <w:rPr>
          <w:rFonts w:eastAsia="Times New Roman"/>
          <w:b w:val="1"/>
          <w:bCs w:val="1"/>
          <w:sz w:val="22"/>
          <w:szCs w:val="22"/>
          <w:lang w:eastAsia="cs-CZ"/>
        </w:rPr>
        <w:t>28</w:t>
      </w:r>
      <w:r w:rsidRPr="5365FA19" w:rsidR="003D33AF">
        <w:rPr>
          <w:rFonts w:eastAsia="Times New Roman"/>
          <w:b w:val="1"/>
          <w:bCs w:val="1"/>
          <w:sz w:val="22"/>
          <w:szCs w:val="22"/>
          <w:lang w:eastAsia="cs-CZ"/>
        </w:rPr>
        <w:t>,6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miliardy Kč). Za stejné období </w:t>
      </w:r>
      <w:r w:rsidRPr="5365FA19" w:rsidR="00302ABC">
        <w:rPr>
          <w:rFonts w:eastAsia="Times New Roman"/>
          <w:b w:val="1"/>
          <w:bCs w:val="1"/>
          <w:sz w:val="22"/>
          <w:szCs w:val="22"/>
          <w:lang w:eastAsia="cs-CZ"/>
        </w:rPr>
        <w:t>loňského roku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to bylo </w:t>
      </w:r>
      <w:r w:rsidRPr="5365FA19" w:rsidR="003D33AF">
        <w:rPr>
          <w:rFonts w:eastAsia="Times New Roman"/>
          <w:b w:val="1"/>
          <w:bCs w:val="1"/>
          <w:sz w:val="22"/>
          <w:szCs w:val="22"/>
          <w:lang w:eastAsia="cs-CZ"/>
        </w:rPr>
        <w:t>26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transakcí za 1</w:t>
      </w:r>
      <w:r w:rsidRPr="5365FA19" w:rsidR="003D33AF">
        <w:rPr>
          <w:rFonts w:eastAsia="Times New Roman"/>
          <w:b w:val="1"/>
          <w:bCs w:val="1"/>
          <w:sz w:val="22"/>
          <w:szCs w:val="22"/>
          <w:lang w:eastAsia="cs-CZ"/>
        </w:rPr>
        <w:t>46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 milionů eur (</w:t>
      </w:r>
      <w:r w:rsidRPr="5365FA19" w:rsidR="02C5C4BA">
        <w:rPr>
          <w:rFonts w:eastAsia="Times New Roman"/>
          <w:b w:val="1"/>
          <w:bCs w:val="1"/>
          <w:sz w:val="22"/>
          <w:szCs w:val="22"/>
          <w:lang w:eastAsia="cs-CZ"/>
        </w:rPr>
        <w:t>3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 xml:space="preserve">,6 miliardy Kč). Důvodem výrazného nárůstu objemu transakcí </w:t>
      </w:r>
      <w:r w:rsidRPr="5365FA19" w:rsidR="003D33AF">
        <w:rPr>
          <w:rFonts w:eastAsia="Times New Roman"/>
          <w:b w:val="1"/>
          <w:bCs w:val="1"/>
          <w:sz w:val="22"/>
          <w:szCs w:val="22"/>
          <w:lang w:eastAsia="cs-CZ"/>
        </w:rPr>
        <w:t xml:space="preserve">byla ve čtvrtém čtvrtletí akvizice tří společností se zaměřením na zpracování vápna. </w:t>
      </w:r>
      <w:r w:rsidRPr="5365FA19" w:rsidR="00A74319">
        <w:rPr>
          <w:rFonts w:eastAsia="Times New Roman"/>
          <w:b w:val="1"/>
          <w:bCs w:val="1"/>
          <w:sz w:val="22"/>
          <w:szCs w:val="22"/>
          <w:lang w:eastAsia="cs-CZ"/>
        </w:rPr>
        <w:t>Pro investory jsou atraktivní sektory počítačového softwaru, automatizace, digitalizace a robotizace či telekomunikací, zvýšen</w:t>
      </w:r>
      <w:r w:rsidRPr="5365FA19" w:rsidR="00A74319">
        <w:rPr>
          <w:rFonts w:eastAsia="Times New Roman"/>
          <w:b w:val="1"/>
          <w:bCs w:val="1"/>
          <w:sz w:val="22"/>
          <w:szCs w:val="22"/>
          <w:lang w:eastAsia="cs-CZ"/>
        </w:rPr>
        <w:t>ý zájem</w:t>
      </w:r>
      <w:r w:rsidRPr="5365FA19" w:rsidR="00A74319">
        <w:rPr>
          <w:rFonts w:eastAsia="Times New Roman"/>
          <w:b w:val="1"/>
          <w:bCs w:val="1"/>
          <w:sz w:val="22"/>
          <w:szCs w:val="22"/>
          <w:lang w:eastAsia="cs-CZ"/>
        </w:rPr>
        <w:t xml:space="preserve"> zůstává v</w:t>
      </w:r>
      <w:r w:rsidRPr="5365FA19" w:rsidR="002467AC">
        <w:rPr>
          <w:rFonts w:eastAsia="Times New Roman"/>
          <w:b w:val="1"/>
          <w:bCs w:val="1"/>
          <w:sz w:val="22"/>
          <w:szCs w:val="22"/>
          <w:lang w:eastAsia="cs-CZ"/>
        </w:rPr>
        <w:t> </w:t>
      </w:r>
      <w:r w:rsidRPr="5365FA19" w:rsidR="00A74319">
        <w:rPr>
          <w:rFonts w:eastAsia="Times New Roman"/>
          <w:b w:val="1"/>
          <w:bCs w:val="1"/>
          <w:sz w:val="22"/>
          <w:szCs w:val="22"/>
          <w:lang w:eastAsia="cs-CZ"/>
        </w:rPr>
        <w:t>oblasti energetiky</w:t>
      </w:r>
      <w:r w:rsidRPr="5365FA19" w:rsidR="00A74319">
        <w:rPr>
          <w:rFonts w:eastAsia="Times New Roman"/>
          <w:b w:val="1"/>
          <w:bCs w:val="1"/>
          <w:sz w:val="22"/>
          <w:szCs w:val="22"/>
          <w:lang w:eastAsia="cs-CZ"/>
        </w:rPr>
        <w:t>.</w:t>
      </w:r>
      <w:r w:rsidRPr="5365FA19" w:rsidR="00A74319">
        <w:rPr>
          <w:rFonts w:eastAsia="Times New Roman"/>
          <w:b w:val="1"/>
          <w:bCs w:val="1"/>
          <w:sz w:val="22"/>
          <w:szCs w:val="22"/>
          <w:lang w:eastAsia="cs-CZ"/>
        </w:rPr>
        <w:t xml:space="preserve"> </w:t>
      </w:r>
      <w:r w:rsidRPr="5365FA19" w:rsidR="00BA2004">
        <w:rPr>
          <w:rFonts w:eastAsia="Times New Roman"/>
          <w:b w:val="1"/>
          <w:bCs w:val="1"/>
          <w:sz w:val="22"/>
          <w:szCs w:val="22"/>
          <w:lang w:eastAsia="cs-CZ"/>
        </w:rPr>
        <w:t>Vyplývá to ze statistik poradenské společnosti TPA.</w:t>
      </w:r>
    </w:p>
    <w:p w:rsidR="0022496F" w:rsidP="00BA2004" w:rsidRDefault="0022496F" w14:paraId="15D15E10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965886" w:rsidR="0022496F" w:rsidP="0022496F" w:rsidRDefault="0022496F" w14:paraId="3681FFD1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965886">
        <w:rPr>
          <w:rFonts w:eastAsia="Times New Roman"/>
          <w:sz w:val="22"/>
          <w:szCs w:val="22"/>
          <w:lang w:eastAsia="cs-CZ"/>
        </w:rPr>
        <w:t>N</w:t>
      </w:r>
      <w:r w:rsidRPr="00965886" w:rsidR="00BA2004">
        <w:rPr>
          <w:rFonts w:eastAsia="Times New Roman"/>
          <w:sz w:val="22"/>
          <w:szCs w:val="22"/>
          <w:lang w:eastAsia="cs-CZ"/>
        </w:rPr>
        <w:t>ejvýznamnější zveřejněnou transakcí na území</w:t>
      </w:r>
      <w:r w:rsidRPr="00965886" w:rsidR="1619BCF7">
        <w:rPr>
          <w:rFonts w:eastAsia="Times New Roman"/>
          <w:sz w:val="22"/>
          <w:szCs w:val="22"/>
          <w:lang w:eastAsia="cs-CZ"/>
        </w:rPr>
        <w:t xml:space="preserve"> </w:t>
      </w:r>
      <w:r w:rsidRPr="00965886" w:rsidR="00BA2004">
        <w:rPr>
          <w:rFonts w:eastAsia="Times New Roman"/>
          <w:sz w:val="22"/>
          <w:szCs w:val="22"/>
          <w:lang w:eastAsia="cs-CZ"/>
        </w:rPr>
        <w:t xml:space="preserve">ČR </w:t>
      </w:r>
      <w:r w:rsidRPr="00965886">
        <w:rPr>
          <w:rFonts w:eastAsia="Times New Roman"/>
          <w:sz w:val="22"/>
          <w:szCs w:val="22"/>
          <w:lang w:eastAsia="cs-CZ"/>
        </w:rPr>
        <w:t xml:space="preserve">byl ve čtvrtém čtvrtletí loni prodej české společnosti Vápenka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Vítošov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, německého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Fels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Holding a irské společnosti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Clogrennane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Lime. Firmy patřily do společnosti CRH Group. Kupcem byla britská investiční společnost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SigmaRoc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plc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, která se zaměřuje na stavební materiály a stavební firmy. </w:t>
      </w:r>
      <w:r w:rsidRPr="00965886">
        <w:rPr>
          <w:rFonts w:eastAsia="Times New Roman"/>
          <w:i/>
          <w:iCs/>
          <w:sz w:val="22"/>
          <w:szCs w:val="22"/>
          <w:lang w:eastAsia="cs-CZ"/>
        </w:rPr>
        <w:t>„Cena transakce se odhaduje na 745 milionů eur (18,4 miliardy Kč),“</w:t>
      </w:r>
      <w:r w:rsidRPr="00965886">
        <w:rPr>
          <w:rFonts w:eastAsia="Times New Roman"/>
          <w:sz w:val="22"/>
          <w:szCs w:val="22"/>
          <w:lang w:eastAsia="cs-CZ"/>
        </w:rPr>
        <w:t xml:space="preserve"> uvedl Jiří Hlaváč partner TPA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Valuation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&amp; Advisory.</w:t>
      </w:r>
    </w:p>
    <w:p w:rsidRPr="0022496F" w:rsidR="0022496F" w:rsidP="0022496F" w:rsidRDefault="0022496F" w14:paraId="7EE104FE" w14:textId="343FD3B6">
      <w:pPr>
        <w:pStyle w:val="Default"/>
        <w:spacing w:line="264" w:lineRule="auto"/>
        <w:jc w:val="both"/>
        <w:rPr>
          <w:rFonts w:eastAsia="Times New Roman"/>
          <w:lang w:eastAsia="cs-CZ"/>
        </w:rPr>
      </w:pPr>
    </w:p>
    <w:p w:rsidRPr="00965886" w:rsidR="00965886" w:rsidP="00965886" w:rsidRDefault="00965886" w14:paraId="4DB9470A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965886">
        <w:rPr>
          <w:rFonts w:eastAsia="Times New Roman"/>
          <w:sz w:val="22"/>
          <w:szCs w:val="22"/>
          <w:lang w:eastAsia="cs-CZ"/>
        </w:rPr>
        <w:t xml:space="preserve">V celém středoevropském regionu (Albánie, Bulharsko, Černá Hora, Česká republika, Chorvatsko, Maďarsko, Polsko, Rakousko, Rumunsko, Slovensko, Slovinsko a Srbsko) TPA registruje meziroční pokles počtu transakcí o zhruba 27 procent na 188. Jejich objem ale meziročně stoupl o téměř polovinu na 5,8 miliardy eur (143,6 miliardy Kč). Nejvíce transakcí bylo opět zaznamenáno v Polsku, zemí s největším objemem transakcí se stalo Rumunsko. </w:t>
      </w:r>
    </w:p>
    <w:p w:rsidR="0022496F" w:rsidP="00BA2004" w:rsidRDefault="0022496F" w14:paraId="5996F099" w14:textId="19898E12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965886" w:rsidR="00965886" w:rsidP="00965886" w:rsidRDefault="00965886" w14:paraId="6E6D6515" w14:textId="5770F619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965886">
        <w:rPr>
          <w:rFonts w:eastAsia="Times New Roman"/>
          <w:sz w:val="22"/>
          <w:szCs w:val="22"/>
          <w:lang w:eastAsia="cs-CZ"/>
        </w:rPr>
        <w:t>Nejvýznamnější zveřejněnou transakcí v celém regionu byl ve čtvrtém čtvrtletí loni prodej 100</w:t>
      </w:r>
      <w:r>
        <w:rPr>
          <w:rFonts w:eastAsia="Times New Roman"/>
          <w:sz w:val="22"/>
          <w:szCs w:val="22"/>
          <w:lang w:eastAsia="cs-CZ"/>
        </w:rPr>
        <w:t>%</w:t>
      </w:r>
      <w:r w:rsidRPr="00965886">
        <w:rPr>
          <w:rFonts w:eastAsia="Times New Roman"/>
          <w:sz w:val="22"/>
          <w:szCs w:val="22"/>
          <w:lang w:eastAsia="cs-CZ"/>
        </w:rPr>
        <w:t xml:space="preserve"> podílu chorvatské holdingové společnosti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Fortenova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holandským společnostem ITER STAK STICHTING a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Iter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BidCO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. Společnost </w:t>
      </w:r>
      <w:proofErr w:type="spellStart"/>
      <w:r w:rsidRPr="00965886">
        <w:rPr>
          <w:rFonts w:eastAsia="Times New Roman"/>
          <w:sz w:val="22"/>
          <w:szCs w:val="22"/>
          <w:lang w:eastAsia="cs-CZ"/>
        </w:rPr>
        <w:t>Fortenova</w:t>
      </w:r>
      <w:proofErr w:type="spellEnd"/>
      <w:r w:rsidRPr="00965886">
        <w:rPr>
          <w:rFonts w:eastAsia="Times New Roman"/>
          <w:sz w:val="22"/>
          <w:szCs w:val="22"/>
          <w:lang w:eastAsia="cs-CZ"/>
        </w:rPr>
        <w:t xml:space="preserve"> podniká především v oblasti stravování, maloobchodu a zemědělství. </w:t>
      </w:r>
      <w:r w:rsidRPr="00965886">
        <w:rPr>
          <w:rFonts w:eastAsia="Times New Roman"/>
          <w:i/>
          <w:iCs/>
          <w:sz w:val="22"/>
          <w:szCs w:val="22"/>
          <w:lang w:eastAsia="cs-CZ"/>
        </w:rPr>
        <w:t xml:space="preserve">„Cena za transakci byla projednávána kolem 660 milionů eur (16,3 miliardy Kč) a její objem, který obsahuje i čistý dluh společnosti, se odhaduje ve výši 1,723 miliardy eur (42,7 mld. Kč). Transakce ještě není zcela uzavřena, nicméně </w:t>
      </w:r>
      <w:r w:rsidR="002467AC">
        <w:rPr>
          <w:rFonts w:eastAsia="Times New Roman"/>
          <w:i/>
          <w:iCs/>
          <w:sz w:val="22"/>
          <w:szCs w:val="22"/>
          <w:lang w:eastAsia="cs-CZ"/>
        </w:rPr>
        <w:t xml:space="preserve">podle dostupných informací </w:t>
      </w:r>
      <w:r w:rsidRPr="00965886">
        <w:rPr>
          <w:rFonts w:eastAsia="Times New Roman"/>
          <w:i/>
          <w:iCs/>
          <w:sz w:val="22"/>
          <w:szCs w:val="22"/>
          <w:lang w:eastAsia="cs-CZ"/>
        </w:rPr>
        <w:t xml:space="preserve">je </w:t>
      </w:r>
      <w:r w:rsidR="002467AC">
        <w:rPr>
          <w:rFonts w:eastAsia="Times New Roman"/>
          <w:i/>
          <w:iCs/>
          <w:sz w:val="22"/>
          <w:szCs w:val="22"/>
          <w:lang w:eastAsia="cs-CZ"/>
        </w:rPr>
        <w:t xml:space="preserve">už </w:t>
      </w:r>
      <w:r w:rsidRPr="00965886">
        <w:rPr>
          <w:rFonts w:eastAsia="Times New Roman"/>
          <w:i/>
          <w:iCs/>
          <w:sz w:val="22"/>
          <w:szCs w:val="22"/>
          <w:lang w:eastAsia="cs-CZ"/>
        </w:rPr>
        <w:t>schválena akcionáři,“</w:t>
      </w:r>
      <w:r w:rsidRPr="00965886">
        <w:rPr>
          <w:rFonts w:eastAsia="Times New Roman"/>
          <w:sz w:val="22"/>
          <w:szCs w:val="22"/>
          <w:lang w:eastAsia="cs-CZ"/>
        </w:rPr>
        <w:t xml:space="preserve"> uvedl</w:t>
      </w:r>
      <w:r>
        <w:rPr>
          <w:rFonts w:eastAsia="Times New Roman"/>
          <w:sz w:val="22"/>
          <w:szCs w:val="22"/>
          <w:lang w:eastAsia="cs-CZ"/>
        </w:rPr>
        <w:t xml:space="preserve"> Hlaváč.</w:t>
      </w:r>
    </w:p>
    <w:p w:rsidR="007B4CB7" w:rsidP="007A39B8" w:rsidRDefault="007B4CB7" w14:paraId="59438FD2" w14:textId="42146BD2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F80911" w:rsidR="00F80911" w:rsidP="00F80911" w:rsidRDefault="00F80911" w14:paraId="749302EE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F80911">
        <w:rPr>
          <w:rFonts w:eastAsia="Times New Roman"/>
          <w:sz w:val="22"/>
          <w:szCs w:val="22"/>
          <w:lang w:eastAsia="cs-CZ"/>
        </w:rPr>
        <w:t>Ve srovnání s třetím čtvrtletím loňského roku v celém regionu klesl počet transakcí o 52. Zároveň jejich objem klesl o zhruba 16,7 miliardy eur. V Česku počet transakcí mezičtvrtletně stoupl o 10, při poklesu objemu o zhruba 2,3 miliardy eur (3,45 miliardy eur ve 3. čtvrtletí vs. 1,156 miliardy eur ve 4. čtvrtletí).</w:t>
      </w:r>
    </w:p>
    <w:p w:rsidR="00B66D84" w:rsidP="00F80911" w:rsidRDefault="00B66D84" w14:paraId="7EA20C9E" w14:textId="77777777">
      <w:pPr>
        <w:pStyle w:val="Default"/>
        <w:spacing w:line="264" w:lineRule="auto"/>
        <w:jc w:val="both"/>
        <w:rPr>
          <w:rFonts w:eastAsia="Times New Roman"/>
          <w:i/>
          <w:iCs/>
          <w:sz w:val="22"/>
          <w:szCs w:val="22"/>
          <w:lang w:eastAsia="cs-CZ"/>
        </w:rPr>
      </w:pPr>
    </w:p>
    <w:p w:rsidRPr="00B66D84" w:rsidR="00A77597" w:rsidP="00B66D84" w:rsidRDefault="00B66D84" w14:paraId="19DCF364" w14:textId="704AC6E8">
      <w:pPr>
        <w:pStyle w:val="Default"/>
        <w:spacing w:line="264" w:lineRule="auto"/>
        <w:jc w:val="both"/>
        <w:rPr>
          <w:rFonts w:eastAsia="Times New Roman"/>
          <w:i/>
          <w:iCs/>
          <w:sz w:val="22"/>
          <w:szCs w:val="22"/>
          <w:lang w:eastAsia="cs-CZ"/>
        </w:rPr>
      </w:pPr>
      <w:r w:rsidRPr="00965886">
        <w:rPr>
          <w:rFonts w:eastAsia="Times New Roman"/>
          <w:i/>
          <w:iCs/>
          <w:sz w:val="22"/>
          <w:szCs w:val="22"/>
          <w:lang w:eastAsia="cs-CZ"/>
        </w:rPr>
        <w:t>„</w:t>
      </w:r>
      <w:r w:rsidRPr="00B66D84">
        <w:rPr>
          <w:rFonts w:eastAsia="Times New Roman"/>
          <w:i/>
          <w:iCs/>
          <w:sz w:val="22"/>
          <w:szCs w:val="22"/>
          <w:lang w:eastAsia="cs-CZ"/>
        </w:rPr>
        <w:t xml:space="preserve">Za celý loňský rok se v celém středoevropském regionu meziročně zvýšil objem uskutečněných transakcí o 12 procent na 40,65 miliardy eur (zhruba jeden bilion Kč). Celkový počet transakcí stoupl meziročně o 37 procent na rekordních 229. Pro investory jsou atraktivní sektory počítačového softwaru, automatizace, digitalizace a robotizace či telekomunikací, zvýšená atraktivita zůstává v oblasti energetiky,“ </w:t>
      </w:r>
      <w:r w:rsidRPr="00B66D84">
        <w:rPr>
          <w:rFonts w:eastAsia="Times New Roman"/>
          <w:sz w:val="22"/>
          <w:szCs w:val="22"/>
          <w:lang w:eastAsia="cs-CZ"/>
        </w:rPr>
        <w:t>doplnil Hlaváč.</w:t>
      </w:r>
      <w:r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</w:p>
    <w:p w:rsidRPr="007A39B8" w:rsidR="007A39B8" w:rsidP="007A39B8" w:rsidRDefault="007A39B8" w14:paraId="622C5243" w14:textId="77777777">
      <w:pPr>
        <w:pStyle w:val="Default"/>
        <w:spacing w:line="264" w:lineRule="auto"/>
        <w:jc w:val="both"/>
        <w:rPr>
          <w:sz w:val="22"/>
          <w:szCs w:val="22"/>
        </w:rPr>
      </w:pPr>
    </w:p>
    <w:p w:rsidR="00B66D84" w:rsidP="00034EAB" w:rsidRDefault="00034EAB" w14:paraId="3D2EBF1D" w14:textId="7BD21448">
      <w:pPr>
        <w:pStyle w:val="Default"/>
        <w:spacing w:line="264" w:lineRule="auto"/>
        <w:jc w:val="both"/>
        <w:rPr>
          <w:rFonts w:eastAsia="Times New Roman"/>
          <w:i/>
          <w:iCs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Situaci</w:t>
      </w:r>
      <w:r w:rsidRPr="00034EAB">
        <w:rPr>
          <w:rFonts w:eastAsia="Times New Roman"/>
          <w:sz w:val="22"/>
          <w:szCs w:val="22"/>
          <w:lang w:eastAsia="cs-CZ"/>
        </w:rPr>
        <w:t xml:space="preserve"> na trhu fúzí a akvizic </w:t>
      </w:r>
      <w:r w:rsidR="00B66D84">
        <w:rPr>
          <w:rFonts w:eastAsia="Times New Roman"/>
          <w:sz w:val="22"/>
          <w:szCs w:val="22"/>
          <w:lang w:eastAsia="cs-CZ"/>
        </w:rPr>
        <w:t>stále</w:t>
      </w:r>
      <w:r w:rsidRPr="00034EAB">
        <w:rPr>
          <w:rFonts w:eastAsia="Times New Roman"/>
          <w:sz w:val="22"/>
          <w:szCs w:val="22"/>
          <w:lang w:eastAsia="cs-CZ"/>
        </w:rPr>
        <w:t xml:space="preserve"> ovlivňuje válka na Ukrajině, která je pro potenciální investory pokračujícím omezením v podobě nejistoty budoucího vývoje v </w:t>
      </w:r>
      <w:r w:rsidR="00B66D84">
        <w:rPr>
          <w:rFonts w:eastAsia="Times New Roman"/>
          <w:sz w:val="22"/>
          <w:szCs w:val="22"/>
          <w:lang w:eastAsia="cs-CZ"/>
        </w:rPr>
        <w:t>řadě</w:t>
      </w:r>
      <w:r w:rsidRPr="00034EAB">
        <w:rPr>
          <w:rFonts w:eastAsia="Times New Roman"/>
          <w:sz w:val="22"/>
          <w:szCs w:val="22"/>
          <w:lang w:eastAsia="cs-CZ"/>
        </w:rPr>
        <w:t xml:space="preserve"> odvětví v celém regionu. 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>„</w:t>
      </w:r>
      <w:r w:rsidR="00B66D84">
        <w:rPr>
          <w:rFonts w:eastAsia="Times New Roman"/>
          <w:i/>
          <w:iCs/>
          <w:sz w:val="22"/>
          <w:szCs w:val="22"/>
          <w:lang w:eastAsia="cs-CZ"/>
        </w:rPr>
        <w:t>O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 xml:space="preserve">bjemy transakcí dosažených v </w:t>
      </w:r>
      <w:r w:rsidR="00B66D84">
        <w:rPr>
          <w:rFonts w:eastAsia="Times New Roman"/>
          <w:i/>
          <w:iCs/>
          <w:sz w:val="22"/>
          <w:szCs w:val="22"/>
          <w:lang w:eastAsia="cs-CZ"/>
        </w:rPr>
        <w:t>čtvrtém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 xml:space="preserve"> kvartálu</w:t>
      </w:r>
      <w:r w:rsidR="00B66D84">
        <w:rPr>
          <w:rFonts w:eastAsia="Times New Roman"/>
          <w:i/>
          <w:iCs/>
          <w:sz w:val="22"/>
          <w:szCs w:val="22"/>
          <w:lang w:eastAsia="cs-CZ"/>
        </w:rPr>
        <w:t xml:space="preserve"> 2023 mohou naznačovat</w:t>
      </w:r>
      <w:r w:rsidRPr="00034EAB"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r w:rsidR="00B66D84">
        <w:rPr>
          <w:rFonts w:eastAsia="Times New Roman"/>
          <w:i/>
          <w:iCs/>
          <w:sz w:val="22"/>
          <w:szCs w:val="22"/>
          <w:lang w:eastAsia="cs-CZ"/>
        </w:rPr>
        <w:t xml:space="preserve">ochlazení </w:t>
      </w:r>
      <w:r w:rsidRPr="00B66D84" w:rsidR="00B66D84">
        <w:rPr>
          <w:rFonts w:eastAsia="Times New Roman"/>
          <w:i/>
          <w:iCs/>
          <w:sz w:val="22"/>
          <w:szCs w:val="22"/>
          <w:lang w:eastAsia="cs-CZ"/>
        </w:rPr>
        <w:t>na trhu fúzí a akvizic v středoevropském regionu na začátku roku 2024</w:t>
      </w:r>
      <w:r w:rsidR="002467AC">
        <w:rPr>
          <w:rFonts w:eastAsia="Times New Roman"/>
          <w:i/>
          <w:iCs/>
          <w:sz w:val="22"/>
          <w:szCs w:val="22"/>
          <w:lang w:eastAsia="cs-CZ"/>
        </w:rPr>
        <w:t>. Výraznější oživení očekáváme od zhruba poloviny letošního roku</w:t>
      </w:r>
      <w:r w:rsidRPr="00E01C76" w:rsidR="00B66D84">
        <w:rPr>
          <w:sz w:val="20"/>
          <w:szCs w:val="20"/>
        </w:rPr>
        <w:t>,“</w:t>
      </w:r>
      <w:r w:rsidR="00B66D84">
        <w:rPr>
          <w:sz w:val="20"/>
          <w:szCs w:val="20"/>
        </w:rPr>
        <w:t xml:space="preserve"> </w:t>
      </w:r>
      <w:r w:rsidRPr="00B66D84" w:rsidR="00B66D84">
        <w:rPr>
          <w:sz w:val="20"/>
          <w:szCs w:val="20"/>
        </w:rPr>
        <w:t>sdělil Hlaváč.</w:t>
      </w:r>
    </w:p>
    <w:p w:rsidRPr="001F501D" w:rsidR="007B4CB7" w:rsidP="007A39B8" w:rsidRDefault="007B4CB7" w14:paraId="1C0DEB52" w14:textId="7C2CE002">
      <w:pPr>
        <w:pStyle w:val="Default"/>
        <w:spacing w:line="264" w:lineRule="auto"/>
        <w:jc w:val="both"/>
        <w:rPr>
          <w:rFonts w:eastAsia="Times New Roman" w:asciiTheme="minorHAnsi" w:hAnsiTheme="minorHAnsi" w:cstheme="minorBidi"/>
          <w:lang w:eastAsia="cs-CZ"/>
        </w:rPr>
      </w:pPr>
    </w:p>
    <w:p w:rsidR="00021254" w:rsidP="003916F2" w:rsidRDefault="00021254" w14:paraId="368A6582" w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Pr="007A39B8" w:rsidR="00EB1C5A" w:rsidP="007A39B8" w:rsidRDefault="00EB1C5A" w14:paraId="766502C4" w14:textId="77777777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:rsidRPr="007A39B8" w:rsidR="00EB1C5A" w:rsidP="007A39B8" w:rsidRDefault="002A3294" w14:paraId="1C28118A" w14:textId="73FE04A0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07A39B8">
        <w:rPr>
          <w:rFonts w:ascii="Arial" w:hAnsi="Arial" w:cs="Arial"/>
          <w:sz w:val="20"/>
          <w:szCs w:val="20"/>
        </w:rPr>
        <w:t>Žitnáková</w:t>
      </w:r>
      <w:proofErr w:type="spellEnd"/>
    </w:p>
    <w:p w:rsidRPr="007A39B8" w:rsidR="00EB1C5A" w:rsidP="007A39B8" w:rsidRDefault="00EB1C5A" w14:paraId="4835AA2F" w14:textId="77777777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A39B8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7A39B8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:rsidRPr="007A39B8" w:rsidR="00EB1C5A" w:rsidP="007A39B8" w:rsidRDefault="00EB1C5A" w14:paraId="4DCE98C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:rsidRPr="007A39B8" w:rsidR="00EB1C5A" w:rsidP="007A39B8" w:rsidRDefault="00EB1C5A" w14:paraId="09C6E92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:rsidRPr="007A39B8" w:rsidR="00EB1C5A" w:rsidP="007A39B8" w:rsidRDefault="00EB1C5A" w14:paraId="2EEA2F44" w14:textId="5E276D42">
      <w:pPr>
        <w:spacing w:after="0" w:line="264" w:lineRule="auto"/>
        <w:rPr>
          <w:rFonts w:ascii="Arial" w:hAnsi="Arial" w:cs="Arial"/>
          <w:sz w:val="20"/>
          <w:szCs w:val="20"/>
        </w:rPr>
      </w:pPr>
      <w:proofErr w:type="spellStart"/>
      <w:r w:rsidRPr="007A39B8">
        <w:rPr>
          <w:rFonts w:ascii="Arial" w:hAnsi="Arial" w:cs="Arial"/>
          <w:sz w:val="20"/>
          <w:szCs w:val="20"/>
        </w:rPr>
        <w:t>gsm</w:t>
      </w:r>
      <w:proofErr w:type="spellEnd"/>
      <w:r w:rsidRPr="007A39B8">
        <w:rPr>
          <w:rFonts w:ascii="Arial" w:hAnsi="Arial" w:cs="Arial"/>
          <w:sz w:val="20"/>
          <w:szCs w:val="20"/>
        </w:rPr>
        <w:t xml:space="preserve">: + 420 </w:t>
      </w:r>
      <w:r w:rsidRPr="007A39B8" w:rsidR="003D5F96">
        <w:rPr>
          <w:rFonts w:ascii="Arial" w:hAnsi="Arial" w:cs="Arial"/>
          <w:sz w:val="20"/>
          <w:szCs w:val="20"/>
        </w:rPr>
        <w:t>725 544 106</w:t>
      </w:r>
    </w:p>
    <w:p w:rsidRPr="007A39B8" w:rsidR="00EB1C5A" w:rsidP="007A39B8" w:rsidRDefault="00000000" w14:paraId="692417D8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7A39B8" w:rsidR="00EB1C5A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Pr="007A39B8" w:rsidR="00316D20" w:rsidP="007A39B8" w:rsidRDefault="00EB1C5A" w14:paraId="28B3B900" w14:textId="5CDD139B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w:history="1" r:id="rId10">
        <w:r w:rsidRPr="007A39B8" w:rsidR="002A3294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:rsidR="002A3294" w:rsidP="007A39B8" w:rsidRDefault="002A3294" w14:paraId="0C9BF7BF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7A39B8" w:rsidP="007A39B8" w:rsidRDefault="007A39B8" w14:paraId="02B11144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5A2DC0" w:rsidP="007A39B8" w:rsidRDefault="00EB1C5A" w14:paraId="11CCEE53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>Informace pro editory:</w:t>
      </w:r>
    </w:p>
    <w:p w:rsidRPr="007A39B8" w:rsidR="005A2DC0" w:rsidP="007A39B8" w:rsidRDefault="005A2DC0" w14:paraId="7DDF97E7" w14:textId="77777777">
      <w:pPr>
        <w:pStyle w:val="F2-zkladn"/>
        <w:spacing w:before="0" w:line="264" w:lineRule="auto"/>
        <w:rPr>
          <w:b/>
        </w:rPr>
      </w:pPr>
    </w:p>
    <w:p w:rsidR="00EB1C5A" w:rsidP="007A39B8" w:rsidRDefault="00EB1C5A" w14:paraId="05D36A23" w14:textId="77777777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Pr="007A39B8" w:rsidR="00483CC4">
        <w:t>e dvanácti</w:t>
      </w:r>
      <w:r w:rsidRPr="007A39B8">
        <w:t xml:space="preserve"> zemích střední a jihovýchodní Evropy. </w:t>
      </w:r>
      <w:r w:rsidRPr="007A39B8" w:rsidR="009B0DF4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</w:t>
      </w:r>
      <w:proofErr w:type="spellStart"/>
      <w:r w:rsidRPr="007A39B8">
        <w:rPr>
          <w:b/>
        </w:rPr>
        <w:t>Baker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Tilly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Europe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Alliance</w:t>
      </w:r>
      <w:proofErr w:type="spellEnd"/>
      <w:r w:rsidRPr="007A39B8">
        <w:t xml:space="preserve">, jejímiž dalšími členy je celosvětová poradenská síť </w:t>
      </w:r>
      <w:hyperlink w:history="1" r:id="rId11">
        <w:proofErr w:type="spellStart"/>
        <w:r w:rsidRPr="007A39B8">
          <w:rPr>
            <w:rStyle w:val="Hypertextovodkaz"/>
            <w:b/>
          </w:rPr>
          <w:t>Baker</w:t>
        </w:r>
        <w:proofErr w:type="spellEnd"/>
        <w:r w:rsidRPr="007A39B8">
          <w:rPr>
            <w:rStyle w:val="Hypertextovodkaz"/>
            <w:b/>
          </w:rPr>
          <w:t xml:space="preserve"> </w:t>
        </w:r>
        <w:proofErr w:type="spellStart"/>
        <w:r w:rsidRPr="007A39B8">
          <w:rPr>
            <w:rStyle w:val="Hypertextovodkaz"/>
            <w:b/>
          </w:rPr>
          <w:t>Tilly</w:t>
        </w:r>
        <w:proofErr w:type="spellEnd"/>
        <w:r w:rsidRPr="007A39B8">
          <w:rPr>
            <w:rStyle w:val="Hypertextovodkaz"/>
            <w:b/>
          </w:rPr>
          <w:t xml:space="preserve"> International</w:t>
        </w:r>
      </w:hyperlink>
      <w:r w:rsidRPr="007A39B8">
        <w:t xml:space="preserve"> a samostatný člen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</w:t>
      </w:r>
      <w:hyperlink w:history="1" r:id="rId12">
        <w:proofErr w:type="spellStart"/>
        <w:r w:rsidRPr="007A39B8" w:rsidR="00433B9A">
          <w:rPr>
            <w:rStyle w:val="Hypertextovodkaz"/>
            <w:b/>
          </w:rPr>
          <w:t>Baker</w:t>
        </w:r>
        <w:proofErr w:type="spellEnd"/>
        <w:r w:rsidRPr="007A39B8" w:rsidR="00433B9A">
          <w:rPr>
            <w:rStyle w:val="Hypertextovodkaz"/>
            <w:b/>
          </w:rPr>
          <w:t xml:space="preserve"> </w:t>
        </w:r>
        <w:proofErr w:type="spellStart"/>
        <w:r w:rsidRPr="007A39B8" w:rsidR="00433B9A">
          <w:rPr>
            <w:rStyle w:val="Hypertextovodkaz"/>
            <w:b/>
          </w:rPr>
          <w:t>Tilly</w:t>
        </w:r>
        <w:proofErr w:type="spellEnd"/>
      </w:hyperlink>
      <w:r w:rsidRPr="007A39B8">
        <w:t xml:space="preserve"> v Německu. Díky členství v 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</w:t>
      </w:r>
      <w:proofErr w:type="spellStart"/>
      <w:r w:rsidRPr="007A39B8">
        <w:t>Europe</w:t>
      </w:r>
      <w:proofErr w:type="spellEnd"/>
      <w:r w:rsidRPr="007A39B8">
        <w:t xml:space="preserve"> </w:t>
      </w:r>
      <w:proofErr w:type="spellStart"/>
      <w:r w:rsidRPr="007A39B8">
        <w:t>Allience</w:t>
      </w:r>
      <w:proofErr w:type="spellEnd"/>
      <w:r w:rsidRPr="007A39B8">
        <w:t xml:space="preserve"> nabízí skupina TPA Group svým klientům služby globální sítě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která patří do první desítky celosvětových poradenských sítí. </w:t>
      </w:r>
    </w:p>
    <w:p w:rsidRPr="007A39B8" w:rsidR="00BA2004" w:rsidP="007A39B8" w:rsidRDefault="00BA2004" w14:paraId="24B4D0B6" w14:textId="77777777">
      <w:pPr>
        <w:pStyle w:val="F2-zkladn"/>
        <w:spacing w:before="0" w:line="264" w:lineRule="auto"/>
      </w:pPr>
    </w:p>
    <w:p w:rsidR="001272D9" w:rsidRDefault="001272D9" w14:paraId="1A9B85E0" w14:textId="01DD576C"/>
    <w:sectPr w:rsidR="001272D9" w:rsidSect="002513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orient="portrait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33B" w:rsidP="00087B0F" w:rsidRDefault="0025133B" w14:paraId="4DB8F965" w14:textId="77777777">
      <w:pPr>
        <w:spacing w:after="0" w:line="240" w:lineRule="auto"/>
      </w:pPr>
      <w:r>
        <w:separator/>
      </w:r>
    </w:p>
  </w:endnote>
  <w:endnote w:type="continuationSeparator" w:id="0">
    <w:p w:rsidR="0025133B" w:rsidP="00087B0F" w:rsidRDefault="0025133B" w14:paraId="783766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4264C443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1B7E5DD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689B93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33B" w:rsidP="00087B0F" w:rsidRDefault="0025133B" w14:paraId="60A1DFA2" w14:textId="77777777">
      <w:pPr>
        <w:spacing w:after="0" w:line="240" w:lineRule="auto"/>
      </w:pPr>
      <w:r>
        <w:separator/>
      </w:r>
    </w:p>
  </w:footnote>
  <w:footnote w:type="continuationSeparator" w:id="0">
    <w:p w:rsidR="0025133B" w:rsidP="00087B0F" w:rsidRDefault="0025133B" w14:paraId="40BC79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542797B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800" w:rsidRDefault="004432AB" w14:paraId="4E54D380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FE0" w:rsidRDefault="00A71FE0" w14:paraId="5F15BE73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34EAB"/>
    <w:rsid w:val="000474F2"/>
    <w:rsid w:val="0005087E"/>
    <w:rsid w:val="00056B71"/>
    <w:rsid w:val="00072CA9"/>
    <w:rsid w:val="00087B0F"/>
    <w:rsid w:val="000A2944"/>
    <w:rsid w:val="000B1F52"/>
    <w:rsid w:val="000F648D"/>
    <w:rsid w:val="001272D9"/>
    <w:rsid w:val="00147AAD"/>
    <w:rsid w:val="001514D6"/>
    <w:rsid w:val="001643CE"/>
    <w:rsid w:val="001665B3"/>
    <w:rsid w:val="001833EC"/>
    <w:rsid w:val="00190F27"/>
    <w:rsid w:val="001B248E"/>
    <w:rsid w:val="001C0CE4"/>
    <w:rsid w:val="001F387C"/>
    <w:rsid w:val="001F501D"/>
    <w:rsid w:val="002212EA"/>
    <w:rsid w:val="0022496F"/>
    <w:rsid w:val="002467AC"/>
    <w:rsid w:val="002468A7"/>
    <w:rsid w:val="0025133B"/>
    <w:rsid w:val="0027105E"/>
    <w:rsid w:val="002948D0"/>
    <w:rsid w:val="002A3294"/>
    <w:rsid w:val="002A7D37"/>
    <w:rsid w:val="002D4C48"/>
    <w:rsid w:val="002E39E1"/>
    <w:rsid w:val="00302ABC"/>
    <w:rsid w:val="0030704F"/>
    <w:rsid w:val="00307EBA"/>
    <w:rsid w:val="003143B9"/>
    <w:rsid w:val="00316D20"/>
    <w:rsid w:val="003371D5"/>
    <w:rsid w:val="00381597"/>
    <w:rsid w:val="00385385"/>
    <w:rsid w:val="003916F2"/>
    <w:rsid w:val="003B5AE8"/>
    <w:rsid w:val="003D33AF"/>
    <w:rsid w:val="003D5F96"/>
    <w:rsid w:val="004010C0"/>
    <w:rsid w:val="00410BBE"/>
    <w:rsid w:val="00414BA1"/>
    <w:rsid w:val="00415AAB"/>
    <w:rsid w:val="004321DB"/>
    <w:rsid w:val="00433B9A"/>
    <w:rsid w:val="004432AB"/>
    <w:rsid w:val="00474216"/>
    <w:rsid w:val="00483CC4"/>
    <w:rsid w:val="00494A82"/>
    <w:rsid w:val="004C261B"/>
    <w:rsid w:val="004E2B60"/>
    <w:rsid w:val="004F1F03"/>
    <w:rsid w:val="0051646C"/>
    <w:rsid w:val="0053615C"/>
    <w:rsid w:val="005744B2"/>
    <w:rsid w:val="00590F8E"/>
    <w:rsid w:val="005A2487"/>
    <w:rsid w:val="005A2DC0"/>
    <w:rsid w:val="006271A1"/>
    <w:rsid w:val="00643BFA"/>
    <w:rsid w:val="00650005"/>
    <w:rsid w:val="00667056"/>
    <w:rsid w:val="00677F43"/>
    <w:rsid w:val="006A65B5"/>
    <w:rsid w:val="006A7542"/>
    <w:rsid w:val="006B531A"/>
    <w:rsid w:val="006D4B45"/>
    <w:rsid w:val="006E6C5B"/>
    <w:rsid w:val="006F39F5"/>
    <w:rsid w:val="00704800"/>
    <w:rsid w:val="00734F7E"/>
    <w:rsid w:val="00735B2F"/>
    <w:rsid w:val="0075184E"/>
    <w:rsid w:val="00756665"/>
    <w:rsid w:val="00764026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8A6922"/>
    <w:rsid w:val="008C35C6"/>
    <w:rsid w:val="008D30B5"/>
    <w:rsid w:val="008E0CBB"/>
    <w:rsid w:val="00911D3B"/>
    <w:rsid w:val="009312EA"/>
    <w:rsid w:val="009448BF"/>
    <w:rsid w:val="00965886"/>
    <w:rsid w:val="0099767A"/>
    <w:rsid w:val="00997BD4"/>
    <w:rsid w:val="009A0B16"/>
    <w:rsid w:val="009B0DF4"/>
    <w:rsid w:val="009F5D62"/>
    <w:rsid w:val="009F6061"/>
    <w:rsid w:val="00A03AEB"/>
    <w:rsid w:val="00A71FE0"/>
    <w:rsid w:val="00A74319"/>
    <w:rsid w:val="00A77597"/>
    <w:rsid w:val="00AA1EC4"/>
    <w:rsid w:val="00AA2DB4"/>
    <w:rsid w:val="00AD6570"/>
    <w:rsid w:val="00AF63E5"/>
    <w:rsid w:val="00B121F9"/>
    <w:rsid w:val="00B47281"/>
    <w:rsid w:val="00B66D84"/>
    <w:rsid w:val="00BA2004"/>
    <w:rsid w:val="00BB2F4F"/>
    <w:rsid w:val="00BC4A3D"/>
    <w:rsid w:val="00BE16A9"/>
    <w:rsid w:val="00BF7D01"/>
    <w:rsid w:val="00C27561"/>
    <w:rsid w:val="00C43F8F"/>
    <w:rsid w:val="00CC1656"/>
    <w:rsid w:val="00CD249C"/>
    <w:rsid w:val="00D01576"/>
    <w:rsid w:val="00D04011"/>
    <w:rsid w:val="00D26944"/>
    <w:rsid w:val="00D4284D"/>
    <w:rsid w:val="00D579C4"/>
    <w:rsid w:val="00D67270"/>
    <w:rsid w:val="00D72C84"/>
    <w:rsid w:val="00D74683"/>
    <w:rsid w:val="00DA18DA"/>
    <w:rsid w:val="00DB6D1B"/>
    <w:rsid w:val="00DC112F"/>
    <w:rsid w:val="00DD06BF"/>
    <w:rsid w:val="00DF5919"/>
    <w:rsid w:val="00DF7E3A"/>
    <w:rsid w:val="00E20A11"/>
    <w:rsid w:val="00E62DFE"/>
    <w:rsid w:val="00E97493"/>
    <w:rsid w:val="00EA436F"/>
    <w:rsid w:val="00EB1C5A"/>
    <w:rsid w:val="00ED4CF4"/>
    <w:rsid w:val="00F230EE"/>
    <w:rsid w:val="00F32BD2"/>
    <w:rsid w:val="00F80911"/>
    <w:rsid w:val="00FE255D"/>
    <w:rsid w:val="0239750A"/>
    <w:rsid w:val="024FA9DA"/>
    <w:rsid w:val="026A6F84"/>
    <w:rsid w:val="02C5C4BA"/>
    <w:rsid w:val="039DD79F"/>
    <w:rsid w:val="03CB2327"/>
    <w:rsid w:val="04063FE5"/>
    <w:rsid w:val="044554D7"/>
    <w:rsid w:val="061501E2"/>
    <w:rsid w:val="06AE04F5"/>
    <w:rsid w:val="06D76539"/>
    <w:rsid w:val="06DC7D90"/>
    <w:rsid w:val="0702C3E9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49E408F"/>
    <w:rsid w:val="151B5701"/>
    <w:rsid w:val="158504D8"/>
    <w:rsid w:val="15861CC3"/>
    <w:rsid w:val="1597C8AE"/>
    <w:rsid w:val="15CB354F"/>
    <w:rsid w:val="1619BCF7"/>
    <w:rsid w:val="1624654F"/>
    <w:rsid w:val="16B72762"/>
    <w:rsid w:val="17925970"/>
    <w:rsid w:val="1A09D6B1"/>
    <w:rsid w:val="1CFD05CD"/>
    <w:rsid w:val="1E91ED59"/>
    <w:rsid w:val="1FCF06F6"/>
    <w:rsid w:val="20676E1F"/>
    <w:rsid w:val="2081DB9E"/>
    <w:rsid w:val="213A9D77"/>
    <w:rsid w:val="21B6F183"/>
    <w:rsid w:val="21D220E9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BCA5C77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0E08CF3"/>
    <w:rsid w:val="41D101FA"/>
    <w:rsid w:val="423EC8DD"/>
    <w:rsid w:val="42F2394B"/>
    <w:rsid w:val="4301EB23"/>
    <w:rsid w:val="43D3917C"/>
    <w:rsid w:val="449DBB84"/>
    <w:rsid w:val="456239FE"/>
    <w:rsid w:val="45A79B91"/>
    <w:rsid w:val="48A55F41"/>
    <w:rsid w:val="4AC1D451"/>
    <w:rsid w:val="4BE28462"/>
    <w:rsid w:val="4D4FA171"/>
    <w:rsid w:val="4E71413D"/>
    <w:rsid w:val="4F582A0F"/>
    <w:rsid w:val="50519165"/>
    <w:rsid w:val="507DE2B2"/>
    <w:rsid w:val="509F80CC"/>
    <w:rsid w:val="50B2ABFC"/>
    <w:rsid w:val="5184E352"/>
    <w:rsid w:val="5219B313"/>
    <w:rsid w:val="5239B5B1"/>
    <w:rsid w:val="52E14C6A"/>
    <w:rsid w:val="5365FA19"/>
    <w:rsid w:val="54C14231"/>
    <w:rsid w:val="55517EB9"/>
    <w:rsid w:val="57025B1C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5F96C9E2"/>
    <w:rsid w:val="603620A7"/>
    <w:rsid w:val="614198F8"/>
    <w:rsid w:val="616E8CBA"/>
    <w:rsid w:val="625BE913"/>
    <w:rsid w:val="6716E0B7"/>
    <w:rsid w:val="68B2B118"/>
    <w:rsid w:val="69249BAF"/>
    <w:rsid w:val="69338280"/>
    <w:rsid w:val="6AC5F9FD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4F16EB6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B72F05E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styleId="F2-zkladn" w:customStyle="1">
    <w:name w:val="F2 - základní"/>
    <w:link w:val="F2-zkladnCharChar"/>
    <w:rsid w:val="00EB1C5A"/>
    <w:pPr>
      <w:spacing w:before="240" w:line="300" w:lineRule="exact"/>
      <w:jc w:val="both"/>
    </w:pPr>
    <w:rPr>
      <w:rFonts w:ascii="Arial" w:hAnsi="Arial" w:eastAsia="Times New Roman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styleId="F2-zkladnCharChar" w:customStyle="1">
    <w:name w:val="F2 - základní Char Char"/>
    <w:link w:val="F2-zkladn"/>
    <w:rsid w:val="00EB1C5A"/>
    <w:rPr>
      <w:rFonts w:ascii="Arial" w:hAnsi="Arial" w:eastAsia="Times New Roman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Default" w:customStyle="1">
    <w:name w:val="Default"/>
    <w:rsid w:val="00024EB1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bakertilly.de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akertillyinternational.com/web/home.aspx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kamila.zitnakova@crestcom.cz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E29DED08-C867-4540-9CF7-1773F0FBD188}"/>
</file>

<file path=customXml/itemProps2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4</cp:revision>
  <cp:lastPrinted>2016-08-25T19:42:00Z</cp:lastPrinted>
  <dcterms:created xsi:type="dcterms:W3CDTF">2024-01-18T12:45:00Z</dcterms:created>
  <dcterms:modified xsi:type="dcterms:W3CDTF">2024-01-19T08:57:17Z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